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2C" w:rsidRDefault="002E7F5D" w:rsidP="002E7F5D">
      <w:pPr>
        <w:jc w:val="center"/>
        <w:rPr>
          <w:rFonts w:ascii="Gulliver-Bold" w:eastAsia="Gulliver-Bold" w:cs="Gulliver-Bold"/>
          <w:b/>
          <w:bCs/>
          <w:kern w:val="0"/>
          <w:sz w:val="36"/>
          <w:szCs w:val="36"/>
        </w:rPr>
      </w:pPr>
      <w:r>
        <w:rPr>
          <w:rFonts w:ascii="Gulliver-Bold" w:eastAsia="Gulliver-Bold" w:cs="Gulliver-Bold"/>
          <w:b/>
          <w:bCs/>
          <w:kern w:val="0"/>
          <w:sz w:val="36"/>
          <w:szCs w:val="36"/>
        </w:rPr>
        <w:t>INSTRUCTIONS TO AUTHORS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9"/>
          <w:szCs w:val="19"/>
        </w:rPr>
      </w:pPr>
      <w:r>
        <w:rPr>
          <w:rFonts w:ascii="Gulliver-Bold" w:eastAsia="Gulliver-Bold" w:cs="Gulliver-Bold"/>
          <w:b/>
          <w:bCs/>
          <w:kern w:val="0"/>
          <w:sz w:val="19"/>
          <w:szCs w:val="19"/>
        </w:rPr>
        <w:t>MANUSCRIPT PREPARATION AND FORMAT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  <w:r>
        <w:rPr>
          <w:rFonts w:ascii="Gulliver" w:eastAsia="Gulliver" w:cs="Gulliver"/>
          <w:kern w:val="0"/>
          <w:sz w:val="17"/>
          <w:szCs w:val="17"/>
        </w:rPr>
        <w:t>All manuscripts must be in grammatically correct English with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American spelling conventions and prepared in accordance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 xml:space="preserve">with the </w:t>
      </w:r>
      <w:r>
        <w:rPr>
          <w:rFonts w:ascii="Gulliver" w:eastAsia="Gulliver" w:cs="Gulliver" w:hint="eastAsia"/>
          <w:kern w:val="0"/>
          <w:sz w:val="17"/>
          <w:szCs w:val="17"/>
        </w:rPr>
        <w:t>“</w:t>
      </w:r>
      <w:r>
        <w:rPr>
          <w:rFonts w:ascii="Gulliver" w:eastAsia="Gulliver" w:cs="Gulliver"/>
          <w:kern w:val="0"/>
          <w:sz w:val="17"/>
          <w:szCs w:val="17"/>
        </w:rPr>
        <w:t>Uniform Requirement for Manuscripts Submitted to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Biomedical Journals</w:t>
      </w:r>
      <w:r>
        <w:rPr>
          <w:rFonts w:ascii="Gulliver" w:eastAsia="Gulliver" w:cs="Gulliver" w:hint="eastAsia"/>
          <w:kern w:val="0"/>
          <w:sz w:val="17"/>
          <w:szCs w:val="17"/>
        </w:rPr>
        <w:t>”</w:t>
      </w:r>
      <w:r>
        <w:rPr>
          <w:rFonts w:ascii="Gulliver" w:eastAsia="Gulliver" w:cs="Gulliver"/>
          <w:kern w:val="0"/>
          <w:sz w:val="17"/>
          <w:szCs w:val="17"/>
        </w:rPr>
        <w:t xml:space="preserve"> updated in October 2008 (http://www.icmje.org). In addition to the Uniform Requirements, JGR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requires all authors to comply with all the reporting guidelines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which have been developed by groups of experts to facilitate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reporting of research studies or clinical trials (http://www.equator-network.org/resource-centre/library-of-healthresearch-reporting/library/).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  <w:r>
        <w:rPr>
          <w:rFonts w:ascii="Gulliver" w:eastAsia="Gulliver" w:cs="Gulliver"/>
          <w:kern w:val="0"/>
          <w:sz w:val="17"/>
          <w:szCs w:val="17"/>
        </w:rPr>
        <w:t>The manuscripts should be created using MS Word. It must be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double-spaced and written in an A4 page format. Do not leave a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space between paragraphs. Only a single font (preferably Times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New Roman) should be used in 12 point with margin of 1 inch,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do insert line numbers. Any manuscript without page and line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numbers will not be considered and will be returned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immediately to the author. Latin origin words should not be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italicized and all pages including the title page should be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paginated consecutively. All numbers should be written in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Arabic numerals throughout the manuscript except for the first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word of the sentence. Texts should be justified on both sides and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not hyphenated and headings should be in bold letters, aligned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in the center. If possible, avoid using abbreviated words in the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beginning of sentences.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  <w:r>
        <w:rPr>
          <w:rFonts w:ascii="Gulliver" w:eastAsia="Gulliver" w:cs="Gulliver"/>
          <w:kern w:val="0"/>
          <w:sz w:val="17"/>
          <w:szCs w:val="17"/>
        </w:rPr>
        <w:t>Regarding the description of ginseng, Panax ginseng C. A. Meyer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or Panax ginseng Meyer should be written as Panax ginseng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only in the title page and as Panax ginseng Meyer when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appearing for the first time in the manuscript, and then as P.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ginseng in the rest of the manuscript. When referring to Korean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White ginseng or Korean Red Ginseng, the first letters of White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and Red should also be capitalized. Otherwise, when referring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to white or red ginseng, the first letters of white or red does not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need to be capitalized.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</w:p>
    <w:p w:rsidR="002E7F5D" w:rsidRDefault="002E7F5D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  <w:r>
        <w:rPr>
          <w:rFonts w:ascii="Gulliver-Bold" w:eastAsia="Gulliver-Bold" w:cs="Gulliver-Bold"/>
          <w:b/>
          <w:bCs/>
          <w:kern w:val="0"/>
          <w:sz w:val="17"/>
          <w:szCs w:val="17"/>
        </w:rPr>
        <w:t>Title page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  <w:r>
        <w:rPr>
          <w:rFonts w:ascii="Gulliver" w:eastAsia="Gulliver" w:cs="Gulliver"/>
          <w:kern w:val="0"/>
          <w:sz w:val="17"/>
          <w:szCs w:val="17"/>
        </w:rPr>
        <w:t>The title page should include: (1) the title of the article (less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than 50 words); (2) name of the authors (first name, middle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initial, last name in capital) and institutional affiliation including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name of department(s) and institution(s) of each author; (3)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name, full address (including the postal code) of the institutional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affiliation, telephone and fax numbers, and email address of the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corresponding author, using an asterisk (*) after the name of the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corresponding author; (4) A running title, 40 characters or less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including blank; and (5) any disclaimers.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</w:p>
    <w:p w:rsidR="002E7F5D" w:rsidRDefault="002E7F5D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  <w:r>
        <w:rPr>
          <w:rFonts w:ascii="Gulliver-Bold" w:eastAsia="Gulliver-Bold" w:cs="Gulliver-Bold"/>
          <w:b/>
          <w:bCs/>
          <w:kern w:val="0"/>
          <w:sz w:val="17"/>
          <w:szCs w:val="17"/>
        </w:rPr>
        <w:t>Abstract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  <w:r>
        <w:rPr>
          <w:rFonts w:ascii="Gulliver" w:eastAsia="Gulliver" w:cs="Gulliver"/>
          <w:kern w:val="0"/>
          <w:sz w:val="17"/>
          <w:szCs w:val="17"/>
        </w:rPr>
        <w:t>An abstract and up to 5 relevant keywords (in alphabetical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order) are required for the following article categories: Review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Article, Original Article, and Case Report.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  <w:r>
        <w:rPr>
          <w:rFonts w:ascii="Gulliver" w:eastAsia="Gulliver" w:cs="Gulliver"/>
          <w:kern w:val="0"/>
          <w:sz w:val="17"/>
          <w:szCs w:val="17"/>
        </w:rPr>
        <w:t>Abstracts should be no more than 250 words in length. Abstracts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for Research Articles should be structured, with the section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headings: Background, Methods, Results and Conclusion.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Abstracts for Review Articles and Case Reports are unstructured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in one single paragraph. But for Case Reports, it should include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the significance and purpose of the case presentation, the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diagnostic methods of the case, the key data, and brief comments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and suggestions with regard to the case.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</w:p>
    <w:p w:rsidR="002E7F5D" w:rsidRDefault="002E7F5D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  <w:r>
        <w:rPr>
          <w:rFonts w:ascii="Gulliver-Bold" w:eastAsia="Gulliver-Bold" w:cs="Gulliver-Bold"/>
          <w:b/>
          <w:bCs/>
          <w:kern w:val="0"/>
          <w:sz w:val="17"/>
          <w:szCs w:val="17"/>
        </w:rPr>
        <w:t>Keywords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  <w:r>
        <w:rPr>
          <w:rFonts w:ascii="Gulliver" w:eastAsia="Gulliver" w:cs="Gulliver"/>
          <w:kern w:val="0"/>
          <w:sz w:val="17"/>
          <w:szCs w:val="17"/>
        </w:rPr>
        <w:t>For selecting keywords, refer to the Index Medicus Medical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 xml:space="preserve">Subject Headings (National Library of Medicine (US). </w:t>
      </w:r>
      <w:proofErr w:type="spellStart"/>
      <w:r>
        <w:rPr>
          <w:rFonts w:ascii="Gulliver" w:eastAsia="Gulliver" w:cs="Gulliver"/>
          <w:kern w:val="0"/>
          <w:sz w:val="17"/>
          <w:szCs w:val="17"/>
        </w:rPr>
        <w:t>MeSH</w:t>
      </w:r>
      <w:proofErr w:type="spellEnd"/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[Internet]. Bethesda (MD): National Library of Medicine (US);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 xml:space="preserve">1954 [updated 2009, cited 2009 Nov 1]. Available </w:t>
      </w:r>
      <w:r>
        <w:rPr>
          <w:rFonts w:ascii="Gulliver" w:eastAsia="Gulliver" w:cs="Gulliver"/>
          <w:kern w:val="0"/>
          <w:sz w:val="17"/>
          <w:szCs w:val="17"/>
        </w:rPr>
        <w:lastRenderedPageBreak/>
        <w:t>from: http://www.ncbi.nlm.nih.gov/mesh).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</w:p>
    <w:p w:rsidR="00B44502" w:rsidRDefault="00B44502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</w:p>
    <w:p w:rsidR="00DC1D1A" w:rsidRDefault="00DC1D1A" w:rsidP="002E7F5D">
      <w:pPr>
        <w:wordWrap/>
        <w:adjustRightInd w:val="0"/>
        <w:spacing w:after="0" w:line="240" w:lineRule="auto"/>
        <w:rPr>
          <w:rFonts w:ascii="Gulliver-Bold" w:eastAsia="Gulliver-Bold" w:cs="Gulliver-Bold" w:hint="eastAsia"/>
          <w:b/>
          <w:bCs/>
          <w:kern w:val="0"/>
          <w:sz w:val="17"/>
          <w:szCs w:val="17"/>
        </w:rPr>
      </w:pPr>
    </w:p>
    <w:p w:rsidR="002E7F5D" w:rsidRDefault="002E7F5D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  <w:r>
        <w:rPr>
          <w:rFonts w:ascii="Gulliver-Bold" w:eastAsia="Gulliver-Bold" w:cs="Gulliver-Bold"/>
          <w:b/>
          <w:bCs/>
          <w:kern w:val="0"/>
          <w:sz w:val="17"/>
          <w:szCs w:val="17"/>
        </w:rPr>
        <w:t>Abbreviations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  <w:r>
        <w:rPr>
          <w:rFonts w:ascii="Gulliver" w:eastAsia="Gulliver" w:cs="Gulliver"/>
          <w:kern w:val="0"/>
          <w:sz w:val="17"/>
          <w:szCs w:val="17"/>
        </w:rPr>
        <w:t>If a term/definition is referred to repeatedly (i.e. 3 times or more</w:t>
      </w:r>
      <w:r w:rsidR="00B44502">
        <w:rPr>
          <w:rFonts w:ascii="Gulliver" w:eastAsia="Gulliver" w:cs="Gulliver" w:hint="eastAsia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in the text), it is written in full when it first appears followed by</w:t>
      </w:r>
      <w:r w:rsidR="00B44502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the abbreviation in parentheses (even if it was previously</w:t>
      </w:r>
      <w:r w:rsidR="00B44502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defined in the abstract); thereafter, the abbreviation is used. For</w:t>
      </w:r>
      <w:r w:rsidR="00B44502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 xml:space="preserve">standard abbreviations generally used (d, </w:t>
      </w:r>
      <w:proofErr w:type="spellStart"/>
      <w:r>
        <w:rPr>
          <w:rFonts w:ascii="Gulliver" w:eastAsia="Gulliver" w:cs="Gulliver"/>
          <w:kern w:val="0"/>
          <w:sz w:val="17"/>
          <w:szCs w:val="17"/>
        </w:rPr>
        <w:t>wk</w:t>
      </w:r>
      <w:proofErr w:type="spellEnd"/>
      <w:r>
        <w:rPr>
          <w:rFonts w:ascii="Gulliver" w:eastAsia="Gulliver" w:cs="Gulliver"/>
          <w:kern w:val="0"/>
          <w:sz w:val="17"/>
          <w:szCs w:val="17"/>
        </w:rPr>
        <w:t xml:space="preserve">, </w:t>
      </w:r>
      <w:proofErr w:type="spellStart"/>
      <w:r>
        <w:rPr>
          <w:rFonts w:ascii="Gulliver" w:eastAsia="Gulliver" w:cs="Gulliver"/>
          <w:kern w:val="0"/>
          <w:sz w:val="17"/>
          <w:szCs w:val="17"/>
        </w:rPr>
        <w:t>mo</w:t>
      </w:r>
      <w:proofErr w:type="spellEnd"/>
      <w:r>
        <w:rPr>
          <w:rFonts w:ascii="Gulliver" w:eastAsia="Gulliver" w:cs="Gulliver"/>
          <w:kern w:val="0"/>
          <w:sz w:val="17"/>
          <w:szCs w:val="17"/>
        </w:rPr>
        <w:t xml:space="preserve">, </w:t>
      </w:r>
      <w:proofErr w:type="spellStart"/>
      <w:r>
        <w:rPr>
          <w:rFonts w:ascii="Gulliver" w:eastAsia="Gulliver" w:cs="Gulliver"/>
          <w:kern w:val="0"/>
          <w:sz w:val="17"/>
          <w:szCs w:val="17"/>
        </w:rPr>
        <w:t>yr</w:t>
      </w:r>
      <w:proofErr w:type="spellEnd"/>
      <w:r>
        <w:rPr>
          <w:rFonts w:ascii="Gulliver" w:eastAsia="Gulliver" w:cs="Gulliver"/>
          <w:kern w:val="0"/>
          <w:sz w:val="17"/>
          <w:szCs w:val="17"/>
        </w:rPr>
        <w:t xml:space="preserve">, </w:t>
      </w:r>
      <w:proofErr w:type="spellStart"/>
      <w:r>
        <w:rPr>
          <w:rFonts w:ascii="Gulliver" w:eastAsia="Gulliver" w:cs="Gulliver"/>
          <w:kern w:val="0"/>
          <w:sz w:val="17"/>
          <w:szCs w:val="17"/>
        </w:rPr>
        <w:t>m.p.</w:t>
      </w:r>
      <w:proofErr w:type="spellEnd"/>
      <w:r>
        <w:rPr>
          <w:rFonts w:ascii="Gulliver" w:eastAsia="Gulliver" w:cs="Gulliver"/>
          <w:kern w:val="0"/>
          <w:sz w:val="17"/>
          <w:szCs w:val="17"/>
        </w:rPr>
        <w:t xml:space="preserve">, </w:t>
      </w:r>
      <w:proofErr w:type="spellStart"/>
      <w:r>
        <w:rPr>
          <w:rFonts w:ascii="Gulliver" w:eastAsia="Gulliver" w:cs="Gulliver"/>
          <w:kern w:val="0"/>
          <w:sz w:val="17"/>
          <w:szCs w:val="17"/>
        </w:rPr>
        <w:t>b.p.</w:t>
      </w:r>
      <w:proofErr w:type="spellEnd"/>
      <w:r>
        <w:rPr>
          <w:rFonts w:ascii="Gulliver" w:eastAsia="Gulliver" w:cs="Gulliver"/>
          <w:kern w:val="0"/>
          <w:sz w:val="17"/>
          <w:szCs w:val="17"/>
        </w:rPr>
        <w:t>,</w:t>
      </w:r>
      <w:r w:rsidR="00B44502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K, s, min, h, _L, mL, L, _g, mg, g, kg, nm, _m, cm, ppm, mmol,</w:t>
      </w:r>
      <w:r w:rsidR="00B44502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HPLC, TLC, GC, UV, CD, IR, GC/MS, LC/M, and NMR), their full</w:t>
      </w:r>
      <w:r w:rsidR="003E0B0E">
        <w:rPr>
          <w:rFonts w:ascii="Gulliver" w:eastAsia="Gulliver" w:cs="Gulliver" w:hint="eastAsia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names are not to be presented.</w:t>
      </w:r>
    </w:p>
    <w:p w:rsidR="003E0B0E" w:rsidRDefault="003E0B0E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</w:p>
    <w:p w:rsidR="002E7F5D" w:rsidRDefault="002E7F5D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  <w:r>
        <w:rPr>
          <w:rFonts w:ascii="Gulliver-Bold" w:eastAsia="Gulliver-Bold" w:cs="Gulliver-Bold"/>
          <w:b/>
          <w:bCs/>
          <w:kern w:val="0"/>
          <w:sz w:val="17"/>
          <w:szCs w:val="17"/>
        </w:rPr>
        <w:t>Acknowledgments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  <w:r>
        <w:rPr>
          <w:rFonts w:ascii="Gulliver" w:eastAsia="Gulliver" w:cs="Gulliver"/>
          <w:kern w:val="0"/>
          <w:sz w:val="17"/>
          <w:szCs w:val="17"/>
        </w:rPr>
        <w:t>All persons who have made a significant contribution to the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article but are not eligible for authors should be explicitly stated.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Examples of persons that may be named in the acknowledgment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include those who have provided purely technical help, writing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assistance and general support. In case of writing assistance, the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entity paid for the assistance must be disclosed. In addition to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this, all sources of funding must also be stated. The authors are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obliged to declare the study sponsors</w:t>
      </w:r>
      <w:r>
        <w:rPr>
          <w:rFonts w:ascii="Gulliver" w:eastAsia="Gulliver" w:cs="Gulliver" w:hint="eastAsia"/>
          <w:kern w:val="0"/>
          <w:sz w:val="17"/>
          <w:szCs w:val="17"/>
        </w:rPr>
        <w:t>’</w:t>
      </w:r>
      <w:r>
        <w:rPr>
          <w:rFonts w:ascii="Gulliver" w:eastAsia="Gulliver" w:cs="Gulliver"/>
          <w:kern w:val="0"/>
          <w:sz w:val="17"/>
          <w:szCs w:val="17"/>
        </w:rPr>
        <w:t xml:space="preserve"> roles in any part of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preparing, conducting, writing, and submitting the manuscript.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If there was no involvement from the study sponsors, the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authors should state this.</w:t>
      </w:r>
    </w:p>
    <w:p w:rsidR="003E0B0E" w:rsidRPr="003E0B0E" w:rsidRDefault="003E0B0E" w:rsidP="002E7F5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</w:p>
    <w:p w:rsidR="002E7F5D" w:rsidRDefault="002E7F5D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  <w:r>
        <w:rPr>
          <w:rFonts w:ascii="Gulliver-Bold" w:eastAsia="Gulliver-Bold" w:cs="Gulliver-Bold"/>
          <w:b/>
          <w:bCs/>
          <w:kern w:val="0"/>
          <w:sz w:val="17"/>
          <w:szCs w:val="17"/>
        </w:rPr>
        <w:t>Gene nomenclature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  <w:r>
        <w:rPr>
          <w:rFonts w:ascii="Gulliver" w:eastAsia="Gulliver" w:cs="Gulliver"/>
          <w:kern w:val="0"/>
          <w:sz w:val="17"/>
          <w:szCs w:val="17"/>
        </w:rPr>
        <w:t>Current standard international nomenclature for genes should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be adhered to. Genes should be italicized and include the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accession number. For human genes, use genetic notation and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symbols approved by the HUGO Gene Nomenclature Committee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(http://www.genenames.org) or refer to PubMed (http://www.ncbi.nlm.nih.gov/sites/entrez).</w:t>
      </w:r>
    </w:p>
    <w:p w:rsidR="003E0B0E" w:rsidRDefault="003E0B0E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</w:p>
    <w:p w:rsidR="002E7F5D" w:rsidRDefault="002E7F5D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  <w:r>
        <w:rPr>
          <w:rFonts w:ascii="Gulliver-Bold" w:eastAsia="Gulliver-Bold" w:cs="Gulliver-Bold"/>
          <w:b/>
          <w:bCs/>
          <w:kern w:val="0"/>
          <w:sz w:val="17"/>
          <w:szCs w:val="17"/>
        </w:rPr>
        <w:t>Units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  <w:proofErr w:type="spellStart"/>
      <w:r>
        <w:rPr>
          <w:rFonts w:ascii="Gulliver" w:eastAsia="Gulliver" w:cs="Gulliver"/>
          <w:kern w:val="0"/>
          <w:sz w:val="17"/>
          <w:szCs w:val="17"/>
        </w:rPr>
        <w:t>Systeme</w:t>
      </w:r>
      <w:proofErr w:type="spellEnd"/>
      <w:r>
        <w:rPr>
          <w:rFonts w:ascii="Gulliver" w:eastAsia="Gulliver" w:cs="Gulliver"/>
          <w:kern w:val="0"/>
          <w:sz w:val="17"/>
          <w:szCs w:val="17"/>
        </w:rPr>
        <w:t xml:space="preserve"> International (SI) units must be used with the exception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of blood pressure, which are to be reported in mmHg. Please use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the metric system for length, area, mass and volume. There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should be a space between the numerals and the unit symbol.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 xml:space="preserve">When indicating time, the </w:t>
      </w:r>
      <w:proofErr w:type="gramStart"/>
      <w:r>
        <w:rPr>
          <w:rFonts w:ascii="Gulliver" w:eastAsia="Gulliver" w:cs="Gulliver"/>
          <w:kern w:val="0"/>
          <w:sz w:val="17"/>
          <w:szCs w:val="17"/>
        </w:rPr>
        <w:t>24 hour</w:t>
      </w:r>
      <w:proofErr w:type="gramEnd"/>
      <w:r>
        <w:rPr>
          <w:rFonts w:ascii="Gulliver" w:eastAsia="Gulliver" w:cs="Gulliver"/>
          <w:kern w:val="0"/>
          <w:sz w:val="17"/>
          <w:szCs w:val="17"/>
        </w:rPr>
        <w:t xml:space="preserve"> system should be used.</w:t>
      </w:r>
    </w:p>
    <w:p w:rsidR="003E0B0E" w:rsidRDefault="003E0B0E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</w:p>
    <w:p w:rsidR="002E7F5D" w:rsidRDefault="002E7F5D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  <w:r>
        <w:rPr>
          <w:rFonts w:ascii="Gulliver-Bold" w:eastAsia="Gulliver-Bold" w:cs="Gulliver-Bold"/>
          <w:b/>
          <w:bCs/>
          <w:kern w:val="0"/>
          <w:sz w:val="17"/>
          <w:szCs w:val="17"/>
        </w:rPr>
        <w:t>Math formulae</w:t>
      </w:r>
    </w:p>
    <w:p w:rsidR="002E7F5D" w:rsidRDefault="002E7F5D" w:rsidP="002E7F5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  <w:r>
        <w:rPr>
          <w:rFonts w:ascii="Gulliver" w:eastAsia="Gulliver" w:cs="Gulliver"/>
          <w:kern w:val="0"/>
          <w:sz w:val="17"/>
          <w:szCs w:val="17"/>
        </w:rPr>
        <w:t>Present simple formulae in the line of normal text where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possible and use the solidus (/) instead of a horizontal line for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small fractional terms, e.g., X/Y. In principle, variables are to be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presented in italics. Powers of e are often more conveniently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denoted by exp. Number consecutively any equations that have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to be displayed separately from the text (if referred to explicitly</w:t>
      </w:r>
      <w:r w:rsidR="003E0B0E"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in the text).</w:t>
      </w:r>
    </w:p>
    <w:p w:rsidR="003E0B0E" w:rsidRDefault="003E0B0E" w:rsidP="002E7F5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</w:p>
    <w:p w:rsidR="000A0D6D" w:rsidRDefault="000A0D6D" w:rsidP="000A0D6D">
      <w:pPr>
        <w:wordWrap/>
        <w:adjustRightInd w:val="0"/>
        <w:spacing w:after="0" w:line="240" w:lineRule="auto"/>
        <w:rPr>
          <w:rFonts w:ascii="Gulliver-Bold" w:eastAsia="Gulliver-Bold" w:cs="Gulliver-Bold"/>
          <w:b/>
          <w:bCs/>
          <w:kern w:val="0"/>
          <w:sz w:val="17"/>
          <w:szCs w:val="17"/>
        </w:rPr>
      </w:pPr>
      <w:r>
        <w:rPr>
          <w:rFonts w:ascii="Gulliver-Bold" w:eastAsia="Gulliver-Bold" w:cs="Gulliver-Bold"/>
          <w:b/>
          <w:bCs/>
          <w:kern w:val="0"/>
          <w:sz w:val="17"/>
          <w:szCs w:val="17"/>
        </w:rPr>
        <w:t>Nomenclature of ginseng</w:t>
      </w:r>
    </w:p>
    <w:p w:rsidR="000A0D6D" w:rsidRDefault="000A0D6D" w:rsidP="000A0D6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  <w:r>
        <w:rPr>
          <w:rFonts w:ascii="Gulliver" w:eastAsia="Gulliver" w:cs="Gulliver"/>
          <w:kern w:val="0"/>
          <w:sz w:val="17"/>
          <w:szCs w:val="17"/>
        </w:rPr>
        <w:t>In general, P. ginseng stands for ginseng or Korean ginseng. In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 xml:space="preserve">case of clarifying cultivation area, describe the </w:t>
      </w:r>
      <w:r>
        <w:rPr>
          <w:rFonts w:ascii="Gulliver" w:eastAsia="Gulliver" w:cs="Gulliver"/>
          <w:kern w:val="0"/>
          <w:sz w:val="17"/>
          <w:szCs w:val="17"/>
        </w:rPr>
        <w:lastRenderedPageBreak/>
        <w:t>cultivation area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 xml:space="preserve">in detail such as </w:t>
      </w:r>
      <w:r>
        <w:rPr>
          <w:rFonts w:ascii="Gulliver" w:eastAsia="Gulliver" w:cs="Gulliver" w:hint="eastAsia"/>
          <w:kern w:val="0"/>
          <w:sz w:val="17"/>
          <w:szCs w:val="17"/>
        </w:rPr>
        <w:t>‘</w:t>
      </w:r>
      <w:r>
        <w:rPr>
          <w:rFonts w:ascii="Gulliver" w:eastAsia="Gulliver" w:cs="Gulliver"/>
          <w:kern w:val="0"/>
          <w:sz w:val="17"/>
          <w:szCs w:val="17"/>
        </w:rPr>
        <w:t>ginseng cultivated in Korea</w:t>
      </w:r>
      <w:r>
        <w:rPr>
          <w:rFonts w:ascii="Gulliver" w:eastAsia="Gulliver" w:cs="Gulliver" w:hint="eastAsia"/>
          <w:kern w:val="0"/>
          <w:sz w:val="17"/>
          <w:szCs w:val="17"/>
        </w:rPr>
        <w:t>’</w:t>
      </w:r>
      <w:r>
        <w:rPr>
          <w:rFonts w:ascii="Gulliver" w:eastAsia="Gulliver" w:cs="Gulliver"/>
          <w:kern w:val="0"/>
          <w:sz w:val="17"/>
          <w:szCs w:val="17"/>
        </w:rPr>
        <w:t xml:space="preserve">, </w:t>
      </w:r>
      <w:r>
        <w:rPr>
          <w:rFonts w:ascii="Gulliver" w:eastAsia="Gulliver" w:cs="Gulliver" w:hint="eastAsia"/>
          <w:kern w:val="0"/>
          <w:sz w:val="17"/>
          <w:szCs w:val="17"/>
        </w:rPr>
        <w:t>‘</w:t>
      </w:r>
      <w:r>
        <w:rPr>
          <w:rFonts w:ascii="Gulliver" w:eastAsia="Gulliver" w:cs="Gulliver"/>
          <w:kern w:val="0"/>
          <w:sz w:val="17"/>
          <w:szCs w:val="17"/>
        </w:rPr>
        <w:t>ginseng cultivated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in China</w:t>
      </w:r>
      <w:r>
        <w:rPr>
          <w:rFonts w:ascii="Gulliver" w:eastAsia="Gulliver" w:cs="Gulliver" w:hint="eastAsia"/>
          <w:kern w:val="0"/>
          <w:sz w:val="17"/>
          <w:szCs w:val="17"/>
        </w:rPr>
        <w:t>’</w:t>
      </w:r>
      <w:r>
        <w:rPr>
          <w:rFonts w:ascii="Gulliver" w:eastAsia="Gulliver" w:cs="Gulliver"/>
          <w:kern w:val="0"/>
          <w:sz w:val="17"/>
          <w:szCs w:val="17"/>
        </w:rPr>
        <w:t xml:space="preserve">, </w:t>
      </w:r>
      <w:r>
        <w:rPr>
          <w:rFonts w:ascii="Gulliver" w:eastAsia="Gulliver" w:cs="Gulliver" w:hint="eastAsia"/>
          <w:kern w:val="0"/>
          <w:sz w:val="17"/>
          <w:szCs w:val="17"/>
        </w:rPr>
        <w:t>‘</w:t>
      </w:r>
      <w:r>
        <w:rPr>
          <w:rFonts w:ascii="Gulliver" w:eastAsia="Gulliver" w:cs="Gulliver"/>
          <w:kern w:val="0"/>
          <w:sz w:val="17"/>
          <w:szCs w:val="17"/>
        </w:rPr>
        <w:t>ginseng cultivated in USA</w:t>
      </w:r>
      <w:r>
        <w:rPr>
          <w:rFonts w:ascii="Gulliver" w:eastAsia="Gulliver" w:cs="Gulliver" w:hint="eastAsia"/>
          <w:kern w:val="0"/>
          <w:sz w:val="17"/>
          <w:szCs w:val="17"/>
        </w:rPr>
        <w:t>’</w:t>
      </w:r>
      <w:r>
        <w:rPr>
          <w:rFonts w:ascii="Gulliver" w:eastAsia="Gulliver" w:cs="Gulliver"/>
          <w:kern w:val="0"/>
          <w:sz w:val="17"/>
          <w:szCs w:val="17"/>
        </w:rPr>
        <w:t xml:space="preserve">, </w:t>
      </w:r>
      <w:r>
        <w:rPr>
          <w:rFonts w:ascii="Gulliver" w:eastAsia="Gulliver" w:cs="Gulliver" w:hint="eastAsia"/>
          <w:kern w:val="0"/>
          <w:sz w:val="17"/>
          <w:szCs w:val="17"/>
        </w:rPr>
        <w:t>‘</w:t>
      </w:r>
      <w:r>
        <w:rPr>
          <w:rFonts w:ascii="Gulliver" w:eastAsia="Gulliver" w:cs="Gulliver"/>
          <w:kern w:val="0"/>
          <w:sz w:val="17"/>
          <w:szCs w:val="17"/>
        </w:rPr>
        <w:t>American ginseng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cultivated in Canada</w:t>
      </w:r>
      <w:r>
        <w:rPr>
          <w:rFonts w:ascii="Gulliver" w:eastAsia="Gulliver" w:cs="Gulliver" w:hint="eastAsia"/>
          <w:kern w:val="0"/>
          <w:sz w:val="17"/>
          <w:szCs w:val="17"/>
        </w:rPr>
        <w:t>’</w:t>
      </w:r>
      <w:r>
        <w:rPr>
          <w:rFonts w:ascii="Gulliver" w:eastAsia="Gulliver" w:cs="Gulliver"/>
          <w:kern w:val="0"/>
          <w:sz w:val="17"/>
          <w:szCs w:val="17"/>
        </w:rPr>
        <w:t xml:space="preserve">, </w:t>
      </w:r>
      <w:proofErr w:type="gramStart"/>
      <w:r>
        <w:rPr>
          <w:rFonts w:ascii="Gulliver" w:eastAsia="Gulliver" w:cs="Gulliver"/>
          <w:kern w:val="0"/>
          <w:sz w:val="17"/>
          <w:szCs w:val="17"/>
        </w:rPr>
        <w:t>etc..</w:t>
      </w:r>
      <w:proofErr w:type="gramEnd"/>
      <w:r>
        <w:rPr>
          <w:rFonts w:ascii="Gulliver" w:eastAsia="Gulliver" w:cs="Gulliver"/>
          <w:kern w:val="0"/>
          <w:sz w:val="17"/>
          <w:szCs w:val="17"/>
        </w:rPr>
        <w:t xml:space="preserve"> In particular, since </w:t>
      </w:r>
      <w:r>
        <w:rPr>
          <w:rFonts w:ascii="Gulliver" w:eastAsia="Gulliver" w:cs="Gulliver" w:hint="eastAsia"/>
          <w:kern w:val="0"/>
          <w:sz w:val="17"/>
          <w:szCs w:val="17"/>
        </w:rPr>
        <w:t>‘</w:t>
      </w:r>
      <w:r>
        <w:rPr>
          <w:rFonts w:ascii="Gulliver" w:eastAsia="Gulliver" w:cs="Gulliver"/>
          <w:kern w:val="0"/>
          <w:sz w:val="17"/>
          <w:szCs w:val="17"/>
        </w:rPr>
        <w:t>Korean Red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Ginseng</w:t>
      </w:r>
      <w:r>
        <w:rPr>
          <w:rFonts w:ascii="Gulliver" w:eastAsia="Gulliver" w:cs="Gulliver" w:hint="eastAsia"/>
          <w:kern w:val="0"/>
          <w:sz w:val="17"/>
          <w:szCs w:val="17"/>
        </w:rPr>
        <w:t>’</w:t>
      </w:r>
      <w:r>
        <w:rPr>
          <w:rFonts w:ascii="Gulliver" w:eastAsia="Gulliver" w:cs="Gulliver"/>
          <w:kern w:val="0"/>
          <w:sz w:val="17"/>
          <w:szCs w:val="17"/>
        </w:rPr>
        <w:t xml:space="preserve"> is a trade mark, just use as </w:t>
      </w:r>
      <w:r>
        <w:rPr>
          <w:rFonts w:ascii="Gulliver" w:eastAsia="Gulliver" w:cs="Gulliver" w:hint="eastAsia"/>
          <w:kern w:val="0"/>
          <w:sz w:val="17"/>
          <w:szCs w:val="17"/>
        </w:rPr>
        <w:t>‘</w:t>
      </w:r>
      <w:r>
        <w:rPr>
          <w:rFonts w:ascii="Gulliver" w:eastAsia="Gulliver" w:cs="Gulliver"/>
          <w:kern w:val="0"/>
          <w:sz w:val="17"/>
          <w:szCs w:val="17"/>
        </w:rPr>
        <w:t>Korean Red Ginseng</w:t>
      </w:r>
      <w:r>
        <w:rPr>
          <w:rFonts w:ascii="Gulliver" w:eastAsia="Gulliver" w:cs="Gulliver" w:hint="eastAsia"/>
          <w:kern w:val="0"/>
          <w:sz w:val="17"/>
          <w:szCs w:val="17"/>
        </w:rPr>
        <w:t>’</w:t>
      </w:r>
      <w:r>
        <w:rPr>
          <w:rFonts w:ascii="Gulliver" w:eastAsia="Gulliver" w:cs="Gulliver"/>
          <w:kern w:val="0"/>
          <w:sz w:val="17"/>
          <w:szCs w:val="17"/>
        </w:rPr>
        <w:t>. More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detailed nomenclature of ginseng is described as follows: Panax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 xml:space="preserve">ginseng (ginseng or Korean ginseng); Panax </w:t>
      </w:r>
      <w:proofErr w:type="spellStart"/>
      <w:r>
        <w:rPr>
          <w:rFonts w:ascii="Gulliver" w:eastAsia="Gulliver" w:cs="Gulliver"/>
          <w:kern w:val="0"/>
          <w:sz w:val="17"/>
          <w:szCs w:val="17"/>
        </w:rPr>
        <w:t>quinquefolius</w:t>
      </w:r>
      <w:proofErr w:type="spellEnd"/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 xml:space="preserve">(American ginseng); Panax </w:t>
      </w:r>
      <w:proofErr w:type="spellStart"/>
      <w:r>
        <w:rPr>
          <w:rFonts w:ascii="Gulliver" w:eastAsia="Gulliver" w:cs="Gulliver"/>
          <w:kern w:val="0"/>
          <w:sz w:val="17"/>
          <w:szCs w:val="17"/>
        </w:rPr>
        <w:t>notoginseng</w:t>
      </w:r>
      <w:proofErr w:type="spellEnd"/>
      <w:r>
        <w:rPr>
          <w:rFonts w:ascii="Gulliver" w:eastAsia="Gulliver" w:cs="Gulliver"/>
          <w:kern w:val="0"/>
          <w:sz w:val="17"/>
          <w:szCs w:val="17"/>
        </w:rPr>
        <w:t xml:space="preserve"> (Chinese ginseng);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>Panax japonicum (</w:t>
      </w:r>
      <w:proofErr w:type="spellStart"/>
      <w:r>
        <w:rPr>
          <w:rFonts w:ascii="Gulliver" w:eastAsia="Gulliver" w:cs="Gulliver"/>
          <w:kern w:val="0"/>
          <w:sz w:val="17"/>
          <w:szCs w:val="17"/>
        </w:rPr>
        <w:t>Janpanese</w:t>
      </w:r>
      <w:proofErr w:type="spellEnd"/>
      <w:r>
        <w:rPr>
          <w:rFonts w:ascii="Gulliver" w:eastAsia="Gulliver" w:cs="Gulliver"/>
          <w:kern w:val="0"/>
          <w:sz w:val="17"/>
          <w:szCs w:val="17"/>
        </w:rPr>
        <w:t xml:space="preserve"> ginseng or Bamboo ginseng);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r>
        <w:rPr>
          <w:rFonts w:ascii="Gulliver" w:eastAsia="Gulliver" w:cs="Gulliver"/>
          <w:kern w:val="0"/>
          <w:sz w:val="17"/>
          <w:szCs w:val="17"/>
        </w:rPr>
        <w:t xml:space="preserve">Panax </w:t>
      </w:r>
      <w:proofErr w:type="spellStart"/>
      <w:r>
        <w:rPr>
          <w:rFonts w:ascii="Gulliver" w:eastAsia="Gulliver" w:cs="Gulliver"/>
          <w:kern w:val="0"/>
          <w:sz w:val="17"/>
          <w:szCs w:val="17"/>
        </w:rPr>
        <w:t>vietnamensis</w:t>
      </w:r>
      <w:proofErr w:type="spellEnd"/>
      <w:r>
        <w:rPr>
          <w:rFonts w:ascii="Gulliver" w:eastAsia="Gulliver" w:cs="Gulliver"/>
          <w:kern w:val="0"/>
          <w:sz w:val="17"/>
          <w:szCs w:val="17"/>
        </w:rPr>
        <w:t xml:space="preserve"> (Vietnamese ginseng); Panax</w:t>
      </w:r>
      <w:r>
        <w:rPr>
          <w:rFonts w:ascii="Gulliver" w:eastAsia="Gulliver" w:cs="Gulliver"/>
          <w:kern w:val="0"/>
          <w:sz w:val="17"/>
          <w:szCs w:val="17"/>
        </w:rPr>
        <w:t xml:space="preserve"> </w:t>
      </w:r>
      <w:proofErr w:type="spellStart"/>
      <w:r>
        <w:rPr>
          <w:rFonts w:ascii="Gulliver" w:eastAsia="Gulliver" w:cs="Gulliver"/>
          <w:kern w:val="0"/>
          <w:sz w:val="17"/>
          <w:szCs w:val="17"/>
        </w:rPr>
        <w:t>pseudoginseng</w:t>
      </w:r>
      <w:proofErr w:type="spellEnd"/>
      <w:r>
        <w:rPr>
          <w:rFonts w:ascii="Gulliver" w:eastAsia="Gulliver" w:cs="Gulliver"/>
          <w:kern w:val="0"/>
          <w:sz w:val="17"/>
          <w:szCs w:val="17"/>
        </w:rPr>
        <w:t xml:space="preserve"> (</w:t>
      </w:r>
      <w:proofErr w:type="spellStart"/>
      <w:r>
        <w:rPr>
          <w:rFonts w:ascii="Gulliver" w:eastAsia="Gulliver" w:cs="Gulliver"/>
          <w:kern w:val="0"/>
          <w:sz w:val="17"/>
          <w:szCs w:val="17"/>
        </w:rPr>
        <w:t>Hymalayan</w:t>
      </w:r>
      <w:proofErr w:type="spellEnd"/>
      <w:r>
        <w:rPr>
          <w:rFonts w:ascii="Gulliver" w:eastAsia="Gulliver" w:cs="Gulliver"/>
          <w:kern w:val="0"/>
          <w:sz w:val="17"/>
          <w:szCs w:val="17"/>
        </w:rPr>
        <w:t xml:space="preserve"> ginseng).</w:t>
      </w:r>
    </w:p>
    <w:p w:rsidR="000A0D6D" w:rsidRDefault="000A0D6D" w:rsidP="000A0D6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</w:p>
    <w:p w:rsidR="000A0D6D" w:rsidRDefault="000A0D6D" w:rsidP="000A0D6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</w:p>
    <w:p w:rsidR="000A0D6D" w:rsidRDefault="000A0D6D" w:rsidP="000A0D6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</w:p>
    <w:p w:rsidR="000A0D6D" w:rsidRDefault="000A0D6D" w:rsidP="000A0D6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</w:p>
    <w:p w:rsidR="000A0D6D" w:rsidRDefault="000A0D6D" w:rsidP="000A0D6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</w:p>
    <w:p w:rsidR="000A0D6D" w:rsidRDefault="000A0D6D" w:rsidP="000A0D6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</w:p>
    <w:p w:rsidR="000A0D6D" w:rsidRDefault="000A0D6D" w:rsidP="000A0D6D">
      <w:pPr>
        <w:wordWrap/>
        <w:adjustRightInd w:val="0"/>
        <w:spacing w:after="0" w:line="240" w:lineRule="auto"/>
        <w:rPr>
          <w:rFonts w:ascii="Gulliver" w:eastAsia="Gulliver" w:cs="Gulliver"/>
          <w:kern w:val="0"/>
          <w:sz w:val="17"/>
          <w:szCs w:val="17"/>
        </w:rPr>
      </w:pPr>
    </w:p>
    <w:p w:rsidR="000A0D6D" w:rsidRPr="000A0D6D" w:rsidRDefault="000A0D6D" w:rsidP="000A0D6D">
      <w:pPr>
        <w:wordWrap/>
        <w:spacing w:after="0" w:line="384" w:lineRule="auto"/>
        <w:ind w:left="400" w:right="6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43125F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>Ex.</w:t>
      </w:r>
      <w:r w:rsidRPr="000A0D6D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>)</w:t>
      </w: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</w:tblGrid>
      <w:tr w:rsidR="000A0D6D" w:rsidRPr="000A0D6D" w:rsidTr="000A0D6D">
        <w:trPr>
          <w:trHeight w:val="316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D6D" w:rsidRPr="000A0D6D" w:rsidRDefault="000A0D6D" w:rsidP="000A0D6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3125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Oral/Poster Presentation</w:t>
            </w:r>
          </w:p>
        </w:tc>
      </w:tr>
    </w:tbl>
    <w:p w:rsidR="000A0D6D" w:rsidRDefault="000A0D6D" w:rsidP="000A0D6D">
      <w:pPr>
        <w:spacing w:after="0" w:line="276" w:lineRule="auto"/>
        <w:ind w:left="400" w:right="600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</w:pPr>
    </w:p>
    <w:p w:rsidR="0043125F" w:rsidRPr="0043125F" w:rsidRDefault="0043125F" w:rsidP="000A0D6D">
      <w:pPr>
        <w:spacing w:after="0" w:line="276" w:lineRule="auto"/>
        <w:ind w:left="400" w:right="600"/>
        <w:textAlignment w:val="baseline"/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2"/>
          <w:szCs w:val="32"/>
        </w:rPr>
      </w:pPr>
    </w:p>
    <w:p w:rsidR="000A0D6D" w:rsidRPr="000A0D6D" w:rsidRDefault="000A0D6D" w:rsidP="000A0D6D">
      <w:pPr>
        <w:spacing w:after="0" w:line="276" w:lineRule="auto"/>
        <w:ind w:left="400" w:right="600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A0D6D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Protective effects of ginseng formulations and its</w:t>
      </w:r>
      <w:r w:rsidRPr="000A0D6D">
        <w:rPr>
          <w:rFonts w:ascii="Times New Roman" w:eastAsia="휴먼명조" w:hAnsi="Times New Roman" w:cs="Times New Roman"/>
          <w:b/>
          <w:bCs/>
          <w:color w:val="000000"/>
          <w:spacing w:val="-16"/>
          <w:kern w:val="0"/>
          <w:sz w:val="32"/>
          <w:szCs w:val="32"/>
        </w:rPr>
        <w:t xml:space="preserve"> </w:t>
      </w:r>
      <w:r w:rsidRPr="000A0D6D">
        <w:rPr>
          <w:rFonts w:ascii="Times New Roman" w:eastAsia="휴먼명조" w:hAnsi="Times New Roman" w:cs="Times New Roman"/>
          <w:b/>
          <w:bCs/>
          <w:color w:val="000000"/>
          <w:spacing w:val="-22"/>
          <w:kern w:val="0"/>
          <w:sz w:val="32"/>
          <w:szCs w:val="32"/>
        </w:rPr>
        <w:t>ingredients</w:t>
      </w:r>
      <w:r w:rsidRPr="000A0D6D">
        <w:rPr>
          <w:rFonts w:ascii="Times New Roman" w:eastAsia="휴먼명조" w:hAnsi="Times New Roman" w:cs="Times New Roman"/>
          <w:b/>
          <w:bCs/>
          <w:color w:val="000000"/>
          <w:spacing w:val="-6"/>
          <w:kern w:val="0"/>
          <w:sz w:val="32"/>
          <w:szCs w:val="32"/>
        </w:rPr>
        <w:t xml:space="preserve"> against oxidative and inflammatory stresses</w:t>
      </w:r>
    </w:p>
    <w:p w:rsidR="000A0D6D" w:rsidRPr="0043125F" w:rsidRDefault="000A0D6D" w:rsidP="000A0D6D">
      <w:pPr>
        <w:wordWrap/>
        <w:spacing w:after="0" w:line="384" w:lineRule="auto"/>
        <w:ind w:left="400" w:right="600"/>
        <w:jc w:val="center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0A0D6D" w:rsidRPr="000A0D6D" w:rsidRDefault="000A0D6D" w:rsidP="000A0D6D">
      <w:pPr>
        <w:wordWrap/>
        <w:spacing w:after="0" w:line="384" w:lineRule="auto"/>
        <w:ind w:left="400" w:right="600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 w:rsidRPr="000A0D6D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Young-Joon </w:t>
      </w:r>
      <w:proofErr w:type="spellStart"/>
      <w:r w:rsidRPr="000A0D6D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Surh</w:t>
      </w:r>
      <w:proofErr w:type="spellEnd"/>
      <w:r w:rsidRPr="000A0D6D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*</w:t>
      </w:r>
    </w:p>
    <w:p w:rsidR="000A0D6D" w:rsidRPr="000A0D6D" w:rsidRDefault="000A0D6D" w:rsidP="000A0D6D">
      <w:pPr>
        <w:wordWrap/>
        <w:spacing w:after="0" w:line="384" w:lineRule="auto"/>
        <w:ind w:left="400" w:right="600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6"/>
          <w:szCs w:val="26"/>
        </w:rPr>
      </w:pPr>
    </w:p>
    <w:p w:rsidR="000A0D6D" w:rsidRPr="000A0D6D" w:rsidRDefault="000A0D6D" w:rsidP="000A0D6D">
      <w:pPr>
        <w:wordWrap/>
        <w:spacing w:after="0" w:line="276" w:lineRule="auto"/>
        <w:ind w:left="400" w:right="600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 w:rsidRPr="000A0D6D">
        <w:rPr>
          <w:rFonts w:ascii="Times New Roman" w:eastAsia="휴먼명조" w:hAnsi="Times New Roman" w:cs="Times New Roman"/>
          <w:i/>
          <w:iCs/>
          <w:color w:val="000000"/>
          <w:spacing w:val="-4"/>
          <w:kern w:val="0"/>
          <w:sz w:val="26"/>
          <w:szCs w:val="26"/>
        </w:rPr>
        <w:t>Tumor Microenvironment Research Center, College of Pharmacy, Seoul National University,</w:t>
      </w:r>
      <w:r w:rsidRPr="000A0D6D">
        <w:rPr>
          <w:rFonts w:ascii="Times New Roman" w:eastAsia="휴먼명조" w:hAnsi="Times New Roman" w:cs="Times New Roman"/>
          <w:i/>
          <w:iCs/>
          <w:color w:val="000000"/>
          <w:kern w:val="0"/>
          <w:sz w:val="26"/>
          <w:szCs w:val="26"/>
        </w:rPr>
        <w:t xml:space="preserve"> Seoul </w:t>
      </w:r>
      <w:r w:rsidRPr="0043125F">
        <w:rPr>
          <w:rFonts w:ascii="Times New Roman" w:eastAsia="휴먼명조" w:hAnsi="Times New Roman" w:cs="Times New Roman"/>
          <w:i/>
          <w:iCs/>
          <w:color w:val="000000"/>
          <w:kern w:val="0"/>
          <w:sz w:val="26"/>
          <w:szCs w:val="26"/>
        </w:rPr>
        <w:t>08826</w:t>
      </w:r>
      <w:r w:rsidRPr="000A0D6D">
        <w:rPr>
          <w:rFonts w:ascii="Times New Roman" w:eastAsia="휴먼명조" w:hAnsi="Times New Roman" w:cs="Times New Roman"/>
          <w:i/>
          <w:iCs/>
          <w:color w:val="000000"/>
          <w:kern w:val="0"/>
          <w:sz w:val="26"/>
          <w:szCs w:val="26"/>
        </w:rPr>
        <w:t xml:space="preserve">, </w:t>
      </w:r>
      <w:r w:rsidRPr="0043125F">
        <w:rPr>
          <w:rFonts w:ascii="Times New Roman" w:eastAsia="휴먼명조" w:hAnsi="Times New Roman" w:cs="Times New Roman"/>
          <w:i/>
          <w:iCs/>
          <w:color w:val="000000"/>
          <w:kern w:val="0"/>
          <w:sz w:val="26"/>
          <w:szCs w:val="26"/>
        </w:rPr>
        <w:t xml:space="preserve">Republic of Korea </w:t>
      </w:r>
    </w:p>
    <w:p w:rsidR="000A0D6D" w:rsidRPr="0043125F" w:rsidRDefault="000A0D6D" w:rsidP="000A0D6D">
      <w:pPr>
        <w:spacing w:before="160" w:after="0" w:line="384" w:lineRule="auto"/>
        <w:ind w:left="400" w:right="600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0A0D6D" w:rsidRPr="000A0D6D" w:rsidRDefault="000A0D6D" w:rsidP="000A0D6D">
      <w:pPr>
        <w:spacing w:before="160" w:after="0" w:line="276" w:lineRule="auto"/>
        <w:ind w:left="400" w:right="600" w:firstLineChars="50" w:firstLine="120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A0D6D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Ginseng has been utilized as an important component of herbal prescriptions in Asian cultures for thousands of years. It has been recognized primarily as a tonic to strengthen week bodies and help to restore homeostasis. A large pool of convincing data arising from preclinical and clinical studies suggest that ginseng is effective in enhancing an immune function towards maintaining optimal endogenous </w:t>
      </w:r>
      <w:r w:rsidRPr="000A0D6D">
        <w:rPr>
          <w:rFonts w:ascii="Times New Roman" w:eastAsia="휴먼명조" w:hAnsi="Times New Roman" w:cs="Times New Roman"/>
          <w:color w:val="000000"/>
          <w:spacing w:val="-6"/>
          <w:kern w:val="0"/>
          <w:sz w:val="24"/>
          <w:szCs w:val="24"/>
        </w:rPr>
        <w:t>defense conditions against certain chronic diseases and the aging process.</w:t>
      </w:r>
      <w:r w:rsidRPr="000A0D6D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Increasing evidence supports the beneficial effects of ginseng in a wide range of pathological conditions such as cardiovascular disease, cancer, </w:t>
      </w:r>
      <w:r w:rsidRPr="000A0D6D">
        <w:rPr>
          <w:rFonts w:ascii="Times New Roman" w:eastAsia="휴먼명조" w:hAnsi="Times New Roman" w:cs="Times New Roman"/>
          <w:color w:val="000000"/>
          <w:spacing w:val="-2"/>
          <w:kern w:val="0"/>
          <w:sz w:val="24"/>
          <w:szCs w:val="24"/>
        </w:rPr>
        <w:t>diabetes mellitus, hepatotoxicity, and immune deficiency. Among an array</w:t>
      </w:r>
      <w:r w:rsidRPr="000A0D6D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of pharmacological responses, much attention has been focused on the protective effects of ginseng against diverse stresses. Both oxidative stress and inflammatory injuries are implicated in a majority of human disorders. </w:t>
      </w:r>
      <w:r w:rsidRPr="000A0D6D">
        <w:rPr>
          <w:rFonts w:ascii="Times New Roman" w:eastAsia="휴먼명조" w:hAnsi="Times New Roman" w:cs="Times New Roman"/>
          <w:color w:val="000000"/>
          <w:spacing w:val="-8"/>
          <w:kern w:val="0"/>
          <w:sz w:val="24"/>
          <w:szCs w:val="24"/>
        </w:rPr>
        <w:t>This lecture mainly covers the antioxidant and anti-inflammatory</w:t>
      </w:r>
      <w:r w:rsidRPr="000A0D6D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effects of ginseng and their mechanisms of action with special focus on Nrf2 and NF-kB as potential targets.</w:t>
      </w:r>
    </w:p>
    <w:p w:rsidR="0043125F" w:rsidRDefault="0043125F" w:rsidP="000A0D6D">
      <w:pPr>
        <w:wordWrap/>
        <w:spacing w:after="0" w:line="384" w:lineRule="auto"/>
        <w:ind w:left="400" w:right="600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0A0D6D" w:rsidRPr="000A0D6D" w:rsidRDefault="000A0D6D" w:rsidP="000A0D6D">
      <w:pPr>
        <w:wordWrap/>
        <w:spacing w:after="0" w:line="384" w:lineRule="auto"/>
        <w:ind w:left="400" w:right="6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A0D6D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 xml:space="preserve">Keywords: </w:t>
      </w:r>
      <w:r w:rsidRPr="000A0D6D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Ginseng, Oxidative stress, Inflammatory injury</w:t>
      </w:r>
      <w:r w:rsidRPr="000A0D6D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:rsidR="000A0D6D" w:rsidRPr="000A0D6D" w:rsidRDefault="000A0D6D" w:rsidP="000A0D6D">
      <w:pPr>
        <w:wordWrap/>
        <w:spacing w:after="0" w:line="384" w:lineRule="auto"/>
        <w:ind w:left="400" w:right="600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0A0D6D" w:rsidRPr="000A0D6D" w:rsidRDefault="000A0D6D" w:rsidP="000A0D6D">
      <w:pPr>
        <w:wordWrap/>
        <w:spacing w:after="0" w:line="384" w:lineRule="auto"/>
        <w:ind w:left="400" w:right="6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A0D6D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- - - - - - - - - - - - - - - - - - - -- - - - - - - - - - - - - - </w:t>
      </w:r>
    </w:p>
    <w:p w:rsidR="000A0D6D" w:rsidRPr="000A0D6D" w:rsidRDefault="000A0D6D" w:rsidP="000A0D6D">
      <w:pPr>
        <w:wordWrap/>
        <w:spacing w:after="0" w:line="384" w:lineRule="auto"/>
        <w:ind w:left="400" w:right="6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0A0D6D">
        <w:rPr>
          <w:rFonts w:ascii="Times New Roman" w:eastAsia="휴먼명조" w:hAnsi="Times New Roman" w:cs="Times New Roman"/>
          <w:color w:val="000000"/>
          <w:kern w:val="0"/>
          <w:sz w:val="22"/>
        </w:rPr>
        <w:t>* Corresponding author:</w:t>
      </w:r>
      <w:r w:rsidR="0043125F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Young-Joon </w:t>
      </w:r>
      <w:proofErr w:type="spellStart"/>
      <w:r w:rsidR="0043125F">
        <w:rPr>
          <w:rFonts w:ascii="Times New Roman" w:eastAsia="휴먼명조" w:hAnsi="Times New Roman" w:cs="Times New Roman"/>
          <w:color w:val="000000"/>
          <w:kern w:val="0"/>
          <w:sz w:val="22"/>
        </w:rPr>
        <w:t>Surh</w:t>
      </w:r>
      <w:proofErr w:type="spellEnd"/>
      <w:r w:rsidRPr="000A0D6D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</w:t>
      </w:r>
    </w:p>
    <w:p w:rsidR="000A0D6D" w:rsidRPr="000A0D6D" w:rsidRDefault="000A0D6D" w:rsidP="000A0D6D">
      <w:pPr>
        <w:wordWrap/>
        <w:spacing w:after="0" w:line="384" w:lineRule="auto"/>
        <w:ind w:left="400" w:right="6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A0D6D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Tel. +82-2-880-7845 / Fax. +82-2-874-9775 / E-mail. </w:t>
      </w:r>
      <w:hyperlink r:id="rId6" w:history="1">
        <w:r w:rsidRPr="000A0D6D">
          <w:rPr>
            <w:rFonts w:ascii="Times New Roman" w:eastAsia="휴먼명조" w:hAnsi="Times New Roman" w:cs="Times New Roman"/>
            <w:color w:val="0000FF"/>
            <w:kern w:val="0"/>
            <w:sz w:val="22"/>
            <w:u w:val="single" w:color="0000FF"/>
          </w:rPr>
          <w:t>surh@snu.ac.kr</w:t>
        </w:r>
      </w:hyperlink>
    </w:p>
    <w:p w:rsidR="000A0D6D" w:rsidRDefault="000A0D6D" w:rsidP="000A0D6D">
      <w:pPr>
        <w:wordWrap/>
        <w:spacing w:after="0" w:line="432" w:lineRule="auto"/>
        <w:ind w:left="400" w:right="600"/>
        <w:jc w:val="left"/>
        <w:textAlignment w:val="baseline"/>
        <w:rPr>
          <w:rFonts w:ascii="Cambria" w:eastAsia="굴림" w:hAnsi="굴림" w:cs="굴림"/>
          <w:color w:val="000000"/>
          <w:kern w:val="0"/>
          <w:sz w:val="22"/>
        </w:rPr>
      </w:pPr>
    </w:p>
    <w:p w:rsidR="0043125F" w:rsidRDefault="0043125F" w:rsidP="000A0D6D">
      <w:pPr>
        <w:wordWrap/>
        <w:spacing w:after="0" w:line="432" w:lineRule="auto"/>
        <w:ind w:left="400" w:right="600"/>
        <w:jc w:val="left"/>
        <w:textAlignment w:val="baseline"/>
        <w:rPr>
          <w:rFonts w:ascii="Cambria" w:eastAsia="굴림" w:hAnsi="굴림" w:cs="굴림"/>
          <w:color w:val="000000"/>
          <w:kern w:val="0"/>
          <w:sz w:val="22"/>
        </w:rPr>
      </w:pPr>
    </w:p>
    <w:p w:rsidR="0043125F" w:rsidRDefault="0043125F" w:rsidP="000A0D6D">
      <w:pPr>
        <w:wordWrap/>
        <w:spacing w:after="0" w:line="432" w:lineRule="auto"/>
        <w:ind w:left="400" w:right="600"/>
        <w:jc w:val="left"/>
        <w:textAlignment w:val="baseline"/>
        <w:rPr>
          <w:rFonts w:ascii="Cambria" w:eastAsia="굴림" w:hAnsi="굴림" w:cs="굴림"/>
          <w:color w:val="000000"/>
          <w:kern w:val="0"/>
          <w:sz w:val="22"/>
        </w:rPr>
      </w:pPr>
    </w:p>
    <w:p w:rsidR="0043125F" w:rsidRPr="000A0D6D" w:rsidRDefault="0043125F" w:rsidP="000A0D6D">
      <w:pPr>
        <w:wordWrap/>
        <w:spacing w:after="0" w:line="432" w:lineRule="auto"/>
        <w:ind w:left="400" w:right="600"/>
        <w:jc w:val="left"/>
        <w:textAlignment w:val="baseline"/>
        <w:rPr>
          <w:rFonts w:ascii="Cambria" w:eastAsia="굴림" w:hAnsi="굴림" w:cs="굴림" w:hint="eastAsia"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</w:tblGrid>
      <w:tr w:rsidR="0043125F" w:rsidRPr="000A0D6D" w:rsidTr="00C904F2">
        <w:trPr>
          <w:trHeight w:val="316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125F" w:rsidRPr="000A0D6D" w:rsidRDefault="0043125F" w:rsidP="00C904F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3125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Oral Presentation</w:t>
            </w:r>
          </w:p>
        </w:tc>
      </w:tr>
    </w:tbl>
    <w:p w:rsidR="0043125F" w:rsidRDefault="0043125F" w:rsidP="0043125F">
      <w:pPr>
        <w:spacing w:after="0" w:line="276" w:lineRule="auto"/>
        <w:ind w:left="400" w:right="600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</w:pPr>
    </w:p>
    <w:p w:rsidR="0043125F" w:rsidRDefault="0043125F" w:rsidP="000A0D6D">
      <w:pPr>
        <w:wordWrap/>
        <w:spacing w:after="0" w:line="432" w:lineRule="auto"/>
        <w:ind w:right="600"/>
        <w:jc w:val="center"/>
        <w:textAlignment w:val="baseline"/>
        <w:rPr>
          <w:rFonts w:ascii="휴먼명조" w:eastAsia="휴먼명조" w:hAnsi="굴림" w:cs="굴림"/>
          <w:color w:val="000000"/>
          <w:spacing w:val="-10"/>
          <w:kern w:val="0"/>
          <w:sz w:val="32"/>
          <w:szCs w:val="32"/>
        </w:rPr>
      </w:pPr>
    </w:p>
    <w:p w:rsidR="000A0D6D" w:rsidRPr="000A0D6D" w:rsidRDefault="000A0D6D" w:rsidP="000A0D6D">
      <w:pPr>
        <w:wordWrap/>
        <w:spacing w:after="0" w:line="432" w:lineRule="auto"/>
        <w:ind w:right="600"/>
        <w:jc w:val="center"/>
        <w:textAlignment w:val="baseline"/>
        <w:rPr>
          <w:rFonts w:ascii="Cambria" w:eastAsia="굴림" w:hAnsi="굴림" w:cs="굴림"/>
          <w:color w:val="000000"/>
          <w:kern w:val="0"/>
          <w:sz w:val="24"/>
          <w:szCs w:val="24"/>
        </w:rPr>
      </w:pPr>
      <w:r w:rsidRPr="000A0D6D">
        <w:rPr>
          <w:rFonts w:ascii="휴먼명조" w:eastAsia="휴먼명조" w:hAnsi="굴림" w:cs="굴림" w:hint="eastAsia"/>
          <w:color w:val="000000"/>
          <w:spacing w:val="-10"/>
          <w:kern w:val="0"/>
          <w:sz w:val="32"/>
          <w:szCs w:val="32"/>
        </w:rPr>
        <w:t xml:space="preserve">인삼 및 그 구성성분의 산화적, </w:t>
      </w:r>
      <w:proofErr w:type="spellStart"/>
      <w:r w:rsidRPr="000A0D6D">
        <w:rPr>
          <w:rFonts w:ascii="휴먼명조" w:eastAsia="휴먼명조" w:hAnsi="굴림" w:cs="굴림" w:hint="eastAsia"/>
          <w:color w:val="000000"/>
          <w:spacing w:val="-10"/>
          <w:kern w:val="0"/>
          <w:sz w:val="32"/>
          <w:szCs w:val="32"/>
        </w:rPr>
        <w:t>염증적</w:t>
      </w:r>
      <w:proofErr w:type="spellEnd"/>
      <w:r w:rsidRPr="000A0D6D">
        <w:rPr>
          <w:rFonts w:ascii="휴먼명조" w:eastAsia="휴먼명조" w:hAnsi="굴림" w:cs="굴림" w:hint="eastAsia"/>
          <w:color w:val="000000"/>
          <w:spacing w:val="-10"/>
          <w:kern w:val="0"/>
          <w:sz w:val="32"/>
          <w:szCs w:val="32"/>
        </w:rPr>
        <w:t xml:space="preserve"> 스트레스 보호 효과</w:t>
      </w:r>
    </w:p>
    <w:p w:rsidR="0043125F" w:rsidRDefault="0043125F" w:rsidP="000A0D6D">
      <w:pPr>
        <w:wordWrap/>
        <w:spacing w:after="0" w:line="432" w:lineRule="auto"/>
        <w:ind w:right="60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0A0D6D" w:rsidRPr="000A0D6D" w:rsidRDefault="000A0D6D" w:rsidP="000A0D6D">
      <w:pPr>
        <w:wordWrap/>
        <w:spacing w:after="0" w:line="432" w:lineRule="auto"/>
        <w:ind w:right="600"/>
        <w:jc w:val="center"/>
        <w:textAlignment w:val="baseline"/>
        <w:rPr>
          <w:rFonts w:ascii="Cambria" w:eastAsia="굴림" w:hAnsi="굴림" w:cs="굴림"/>
          <w:color w:val="000000"/>
          <w:kern w:val="0"/>
          <w:sz w:val="26"/>
          <w:szCs w:val="26"/>
        </w:rPr>
      </w:pPr>
      <w:r w:rsidRPr="000A0D6D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서영준</w:t>
      </w:r>
    </w:p>
    <w:p w:rsidR="000A0D6D" w:rsidRPr="000A0D6D" w:rsidRDefault="000A0D6D" w:rsidP="000A0D6D">
      <w:pPr>
        <w:wordWrap/>
        <w:spacing w:after="0" w:line="432" w:lineRule="auto"/>
        <w:ind w:right="600"/>
        <w:jc w:val="center"/>
        <w:textAlignment w:val="baseline"/>
        <w:rPr>
          <w:rFonts w:ascii="Cambria" w:eastAsia="굴림" w:hAnsi="굴림" w:cs="굴림"/>
          <w:color w:val="000000"/>
          <w:kern w:val="0"/>
          <w:sz w:val="26"/>
          <w:szCs w:val="26"/>
        </w:rPr>
      </w:pPr>
      <w:r w:rsidRPr="000A0D6D">
        <w:rPr>
          <w:rFonts w:ascii="휴먼명조" w:eastAsia="휴먼명조" w:hAnsi="굴림" w:cs="굴림" w:hint="eastAsia"/>
          <w:i/>
          <w:iCs/>
          <w:color w:val="000000"/>
          <w:kern w:val="0"/>
          <w:sz w:val="26"/>
          <w:szCs w:val="26"/>
        </w:rPr>
        <w:t xml:space="preserve">서울대학교 약학대학 </w:t>
      </w:r>
      <w:proofErr w:type="spellStart"/>
      <w:r w:rsidRPr="000A0D6D">
        <w:rPr>
          <w:rFonts w:ascii="휴먼명조" w:eastAsia="휴먼명조" w:hAnsi="굴림" w:cs="굴림" w:hint="eastAsia"/>
          <w:i/>
          <w:iCs/>
          <w:color w:val="000000"/>
          <w:kern w:val="0"/>
          <w:sz w:val="26"/>
          <w:szCs w:val="26"/>
        </w:rPr>
        <w:t>종양미세환경</w:t>
      </w:r>
      <w:proofErr w:type="spellEnd"/>
      <w:r w:rsidRPr="000A0D6D">
        <w:rPr>
          <w:rFonts w:ascii="휴먼명조" w:eastAsia="휴먼명조" w:hAnsi="굴림" w:cs="굴림" w:hint="eastAsia"/>
          <w:i/>
          <w:iCs/>
          <w:color w:val="000000"/>
          <w:kern w:val="0"/>
          <w:sz w:val="26"/>
          <w:szCs w:val="26"/>
        </w:rPr>
        <w:t xml:space="preserve"> 센터</w:t>
      </w:r>
    </w:p>
    <w:p w:rsidR="000A0D6D" w:rsidRPr="000A0D6D" w:rsidRDefault="000A0D6D" w:rsidP="000A0D6D">
      <w:pPr>
        <w:wordWrap/>
        <w:spacing w:after="0" w:line="432" w:lineRule="auto"/>
        <w:ind w:right="600"/>
        <w:jc w:val="center"/>
        <w:textAlignment w:val="baseline"/>
        <w:rPr>
          <w:rFonts w:ascii="Cambria" w:eastAsia="굴림" w:hAnsi="굴림" w:cs="굴림"/>
          <w:i/>
          <w:iCs/>
          <w:color w:val="000000"/>
          <w:kern w:val="0"/>
          <w:sz w:val="24"/>
          <w:szCs w:val="24"/>
        </w:rPr>
      </w:pPr>
    </w:p>
    <w:p w:rsidR="000A0D6D" w:rsidRPr="000A0D6D" w:rsidRDefault="000A0D6D" w:rsidP="0043125F">
      <w:pPr>
        <w:spacing w:after="0" w:line="432" w:lineRule="auto"/>
        <w:ind w:right="600"/>
        <w:textAlignment w:val="baseline"/>
        <w:rPr>
          <w:rFonts w:ascii="Cambria" w:eastAsia="굴림" w:hAnsi="굴림" w:cs="굴림"/>
          <w:color w:val="000000"/>
          <w:spacing w:val="-10"/>
          <w:w w:val="98"/>
          <w:kern w:val="0"/>
          <w:sz w:val="24"/>
          <w:szCs w:val="24"/>
        </w:rPr>
      </w:pPr>
      <w:r w:rsidRPr="000A0D6D">
        <w:rPr>
          <w:rFonts w:ascii="휴먼명조" w:eastAsia="휴먼명조" w:hAnsi="굴림" w:cs="굴림" w:hint="eastAsia"/>
          <w:color w:val="000000"/>
          <w:spacing w:val="-10"/>
          <w:w w:val="98"/>
          <w:kern w:val="0"/>
          <w:sz w:val="24"/>
          <w:szCs w:val="24"/>
        </w:rPr>
        <w:t>인삼은 수천년 동안 아시아 문화권에서 중요한 약초 처방의 구성성분으로 이용되어 왔다</w:t>
      </w:r>
      <w:r w:rsidRPr="000A0D6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0A0D6D">
        <w:rPr>
          <w:rFonts w:ascii="휴먼명조" w:eastAsia="휴먼명조" w:hAnsi="굴림" w:cs="굴림" w:hint="eastAsia"/>
          <w:color w:val="000000"/>
          <w:spacing w:val="-10"/>
          <w:w w:val="98"/>
          <w:kern w:val="0"/>
          <w:sz w:val="24"/>
          <w:szCs w:val="24"/>
        </w:rPr>
        <w:t xml:space="preserve">많은 전임상 및 임상 연구를 통한 데이터는 인삼이 여러 만성질환이나 노화과정에서 약화되는 면역기능을 </w:t>
      </w:r>
      <w:proofErr w:type="spellStart"/>
      <w:r w:rsidRPr="000A0D6D">
        <w:rPr>
          <w:rFonts w:ascii="휴먼명조" w:eastAsia="휴먼명조" w:hAnsi="굴림" w:cs="굴림" w:hint="eastAsia"/>
          <w:color w:val="000000"/>
          <w:spacing w:val="-10"/>
          <w:w w:val="98"/>
          <w:kern w:val="0"/>
          <w:sz w:val="24"/>
          <w:szCs w:val="24"/>
        </w:rPr>
        <w:t>항진시키는데</w:t>
      </w:r>
      <w:proofErr w:type="spellEnd"/>
      <w:r w:rsidRPr="000A0D6D">
        <w:rPr>
          <w:rFonts w:ascii="휴먼명조" w:eastAsia="휴먼명조" w:hAnsi="굴림" w:cs="굴림" w:hint="eastAsia"/>
          <w:color w:val="000000"/>
          <w:spacing w:val="-10"/>
          <w:w w:val="98"/>
          <w:kern w:val="0"/>
          <w:sz w:val="24"/>
          <w:szCs w:val="24"/>
        </w:rPr>
        <w:t xml:space="preserve"> 효과가 있음을 뒷받침하고 있다</w:t>
      </w:r>
      <w:r w:rsidRPr="000A0D6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0A0D6D">
        <w:rPr>
          <w:rFonts w:ascii="휴먼명조" w:eastAsia="휴먼명조" w:hAnsi="굴림" w:cs="굴림" w:hint="eastAsia"/>
          <w:color w:val="000000"/>
          <w:spacing w:val="-10"/>
          <w:w w:val="98"/>
          <w:kern w:val="0"/>
          <w:sz w:val="24"/>
          <w:szCs w:val="24"/>
        </w:rPr>
        <w:t>심장병</w:t>
      </w:r>
      <w:r w:rsidRPr="000A0D6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0A0D6D">
        <w:rPr>
          <w:rFonts w:ascii="휴먼명조" w:eastAsia="휴먼명조" w:hAnsi="굴림" w:cs="굴림" w:hint="eastAsia"/>
          <w:color w:val="000000"/>
          <w:spacing w:val="-10"/>
          <w:w w:val="98"/>
          <w:kern w:val="0"/>
          <w:sz w:val="24"/>
          <w:szCs w:val="24"/>
        </w:rPr>
        <w:t>암</w:t>
      </w:r>
      <w:r w:rsidRPr="000A0D6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0A0D6D">
        <w:rPr>
          <w:rFonts w:ascii="휴먼명조" w:eastAsia="휴먼명조" w:hAnsi="굴림" w:cs="굴림" w:hint="eastAsia"/>
          <w:color w:val="000000"/>
          <w:spacing w:val="-10"/>
          <w:w w:val="98"/>
          <w:kern w:val="0"/>
          <w:sz w:val="24"/>
          <w:szCs w:val="24"/>
        </w:rPr>
        <w:t>당뇨</w:t>
      </w:r>
      <w:r w:rsidRPr="000A0D6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0A0D6D">
        <w:rPr>
          <w:rFonts w:ascii="휴먼명조" w:eastAsia="휴먼명조" w:hAnsi="굴림" w:cs="굴림" w:hint="eastAsia"/>
          <w:color w:val="000000"/>
          <w:spacing w:val="-10"/>
          <w:w w:val="98"/>
          <w:kern w:val="0"/>
          <w:sz w:val="24"/>
          <w:szCs w:val="24"/>
        </w:rPr>
        <w:t>간질환 및 면역결핍증과 같은 다양한 병리적 증세에 대한 인삼의 건강기능에 기능에 대한 증거가 축적되고 있다</w:t>
      </w:r>
      <w:r w:rsidRPr="000A0D6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0A0D6D">
        <w:rPr>
          <w:rFonts w:ascii="휴먼명조" w:eastAsia="휴먼명조" w:hAnsi="굴림" w:cs="굴림" w:hint="eastAsia"/>
          <w:color w:val="000000"/>
          <w:spacing w:val="-10"/>
          <w:w w:val="98"/>
          <w:kern w:val="0"/>
          <w:sz w:val="24"/>
          <w:szCs w:val="24"/>
        </w:rPr>
        <w:t>산화적 스트레스와 염증에 의한 조직손상은 대부분의 인체 질환에 관여한다</w:t>
      </w:r>
      <w:r w:rsidRPr="000A0D6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0A0D6D">
        <w:rPr>
          <w:rFonts w:ascii="휴먼명조" w:eastAsia="휴먼명조" w:hAnsi="굴림" w:cs="굴림" w:hint="eastAsia"/>
          <w:color w:val="000000"/>
          <w:spacing w:val="-10"/>
          <w:w w:val="98"/>
          <w:kern w:val="0"/>
          <w:sz w:val="24"/>
          <w:szCs w:val="24"/>
        </w:rPr>
        <w:t xml:space="preserve">본 강연에서는 인삼 및 그 구성성분의 항산화 및 </w:t>
      </w:r>
      <w:proofErr w:type="spellStart"/>
      <w:r w:rsidRPr="000A0D6D">
        <w:rPr>
          <w:rFonts w:ascii="휴먼명조" w:eastAsia="휴먼명조" w:hAnsi="굴림" w:cs="굴림" w:hint="eastAsia"/>
          <w:color w:val="000000"/>
          <w:spacing w:val="-10"/>
          <w:w w:val="98"/>
          <w:kern w:val="0"/>
          <w:sz w:val="24"/>
          <w:szCs w:val="24"/>
        </w:rPr>
        <w:t>항염증</w:t>
      </w:r>
      <w:proofErr w:type="spellEnd"/>
      <w:r w:rsidRPr="000A0D6D">
        <w:rPr>
          <w:rFonts w:ascii="휴먼명조" w:eastAsia="휴먼명조" w:hAnsi="굴림" w:cs="굴림" w:hint="eastAsia"/>
          <w:color w:val="000000"/>
          <w:spacing w:val="-10"/>
          <w:w w:val="98"/>
          <w:kern w:val="0"/>
          <w:sz w:val="24"/>
          <w:szCs w:val="24"/>
        </w:rPr>
        <w:t xml:space="preserve"> 효능과 그 작용기전을 주요 전사인자 단백질인 </w:t>
      </w:r>
      <w:r w:rsidRPr="000A0D6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Nrf2</w:t>
      </w:r>
      <w:r w:rsidRPr="000A0D6D">
        <w:rPr>
          <w:rFonts w:ascii="휴먼명조" w:eastAsia="휴먼명조" w:hAnsi="굴림" w:cs="굴림" w:hint="eastAsia"/>
          <w:color w:val="000000"/>
          <w:spacing w:val="-10"/>
          <w:w w:val="98"/>
          <w:kern w:val="0"/>
          <w:sz w:val="24"/>
          <w:szCs w:val="24"/>
        </w:rPr>
        <w:t xml:space="preserve">와 </w:t>
      </w:r>
      <w:r w:rsidRPr="000A0D6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NF-kappa B</w:t>
      </w:r>
      <w:r w:rsidRPr="000A0D6D">
        <w:rPr>
          <w:rFonts w:ascii="휴먼명조" w:eastAsia="휴먼명조" w:hAnsi="굴림" w:cs="굴림" w:hint="eastAsia"/>
          <w:color w:val="000000"/>
          <w:spacing w:val="-10"/>
          <w:w w:val="98"/>
          <w:kern w:val="0"/>
          <w:sz w:val="24"/>
          <w:szCs w:val="24"/>
        </w:rPr>
        <w:t>를 중심으로 소개하고자 한다</w:t>
      </w:r>
      <w:r w:rsidRPr="000A0D6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0A0D6D" w:rsidRPr="000A0D6D" w:rsidRDefault="000A0D6D" w:rsidP="000A0D6D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A0D6D" w:rsidRPr="000A0D6D" w:rsidRDefault="000A0D6D" w:rsidP="000A0D6D">
      <w:pPr>
        <w:wordWrap/>
        <w:adjustRightInd w:val="0"/>
        <w:spacing w:after="0" w:line="240" w:lineRule="auto"/>
        <w:rPr>
          <w:rFonts w:ascii="Gulliver" w:eastAsia="Gulliver" w:cs="Gulliver" w:hint="eastAsia"/>
          <w:kern w:val="0"/>
          <w:sz w:val="17"/>
          <w:szCs w:val="17"/>
        </w:rPr>
      </w:pPr>
    </w:p>
    <w:sectPr w:rsidR="000A0D6D" w:rsidRPr="000A0D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F5D" w:rsidRDefault="002E7F5D" w:rsidP="002E7F5D">
      <w:pPr>
        <w:spacing w:after="0" w:line="240" w:lineRule="auto"/>
      </w:pPr>
      <w:r>
        <w:separator/>
      </w:r>
    </w:p>
  </w:endnote>
  <w:endnote w:type="continuationSeparator" w:id="0">
    <w:p w:rsidR="002E7F5D" w:rsidRDefault="002E7F5D" w:rsidP="002E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Gulliver-Bold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ulliver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F5D" w:rsidRDefault="002E7F5D" w:rsidP="002E7F5D">
      <w:pPr>
        <w:spacing w:after="0" w:line="240" w:lineRule="auto"/>
      </w:pPr>
      <w:r>
        <w:separator/>
      </w:r>
    </w:p>
  </w:footnote>
  <w:footnote w:type="continuationSeparator" w:id="0">
    <w:p w:rsidR="002E7F5D" w:rsidRDefault="002E7F5D" w:rsidP="002E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5D"/>
    <w:rsid w:val="00023F9D"/>
    <w:rsid w:val="000A0D6D"/>
    <w:rsid w:val="000F4609"/>
    <w:rsid w:val="002E7F5D"/>
    <w:rsid w:val="003E0B0E"/>
    <w:rsid w:val="0043125F"/>
    <w:rsid w:val="005626D2"/>
    <w:rsid w:val="005E7179"/>
    <w:rsid w:val="00750891"/>
    <w:rsid w:val="008E5B0F"/>
    <w:rsid w:val="00B44502"/>
    <w:rsid w:val="00C8511C"/>
    <w:rsid w:val="00D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8987"/>
  <w15:chartTrackingRefBased/>
  <w15:docId w15:val="{32B47B45-F1A8-4CB0-9554-0D1166CC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F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E7F5D"/>
  </w:style>
  <w:style w:type="paragraph" w:styleId="a4">
    <w:name w:val="footer"/>
    <w:basedOn w:val="a"/>
    <w:link w:val="Char0"/>
    <w:uiPriority w:val="99"/>
    <w:unhideWhenUsed/>
    <w:rsid w:val="002E7F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E7F5D"/>
  </w:style>
  <w:style w:type="paragraph" w:customStyle="1" w:styleId="MS">
    <w:name w:val="MS바탕글"/>
    <w:basedOn w:val="a"/>
    <w:rsid w:val="000A0D6D"/>
    <w:pPr>
      <w:widowControl/>
      <w:wordWrap/>
      <w:spacing w:after="0" w:line="240" w:lineRule="auto"/>
      <w:jc w:val="left"/>
      <w:textAlignment w:val="baseline"/>
    </w:pPr>
    <w:rPr>
      <w:rFonts w:ascii="Cambria" w:eastAsia="굴림" w:hAnsi="굴림" w:cs="굴림"/>
      <w:color w:val="000000"/>
      <w:kern w:val="0"/>
      <w:sz w:val="24"/>
      <w:szCs w:val="24"/>
    </w:rPr>
  </w:style>
  <w:style w:type="paragraph" w:customStyle="1" w:styleId="a5">
    <w:name w:val="바탕글"/>
    <w:basedOn w:val="a"/>
    <w:rsid w:val="000A0D6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0A0D6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C1D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C1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h@snu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 seng</dc:creator>
  <cp:keywords/>
  <dc:description/>
  <cp:lastModifiedBy>gin seng</cp:lastModifiedBy>
  <cp:revision>5</cp:revision>
  <cp:lastPrinted>2019-05-31T06:48:00Z</cp:lastPrinted>
  <dcterms:created xsi:type="dcterms:W3CDTF">2019-05-31T06:23:00Z</dcterms:created>
  <dcterms:modified xsi:type="dcterms:W3CDTF">2019-05-31T06:56:00Z</dcterms:modified>
</cp:coreProperties>
</file>